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632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83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36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товара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2269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outlineLvl w:val="1"/>
              <w:rPr>
                <w:kern w:val="36"/>
              </w:rPr>
            </w:pPr>
            <w:r>
              <w:rPr>
                <w:kern w:val="36"/>
              </w:rPr>
              <w:t xml:space="preserve">Электронный </w:t>
            </w:r>
          </w:p>
          <w:p>
            <w:pPr>
              <w:shd w:val="clear" w:color="auto" w:fill="FFFFFF"/>
              <w:outlineLvl w:val="1"/>
              <w:rPr>
                <w:kern w:val="36"/>
              </w:rPr>
            </w:pPr>
            <w:r>
              <w:rPr>
                <w:kern w:val="36"/>
              </w:rPr>
              <w:t xml:space="preserve">стационарный </w:t>
            </w:r>
          </w:p>
          <w:p>
            <w:pPr>
              <w:shd w:val="clear" w:color="auto" w:fill="FFFFFF"/>
              <w:outlineLvl w:val="1"/>
            </w:pPr>
            <w:r>
              <w:rPr>
                <w:kern w:val="36"/>
              </w:rPr>
              <w:t>видео-увеличитель</w:t>
            </w:r>
            <w:r>
              <w:rPr>
                <w:kern w:val="36"/>
                <w:lang w:val="ru-RU"/>
              </w:rPr>
              <w:t xml:space="preserve"> с функцией распознавания текста</w:t>
            </w:r>
            <w:bookmarkStart w:id="0" w:name="_GoBack"/>
            <w:bookmarkEnd w:id="0"/>
          </w:p>
        </w:tc>
        <w:tc>
          <w:tcPr>
            <w:tcW w:w="8363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Электронный стационарный видео-увеличитель (ЭСВУ) должен обеспечивать слабовидящим пользователям с остротой зрения от 0,03 до 0,2 возможность чтения плоскопечатных текстов, рассматривания иллюстраций и мелких объектов,  письма и выполнения других ручных  работ со зрительным контролем.</w:t>
            </w:r>
          </w:p>
          <w:p>
            <w:pPr>
              <w:suppressAutoHyphens/>
              <w:snapToGrid w:val="0"/>
              <w:jc w:val="both"/>
              <w:rPr>
                <w:lang w:eastAsia="ar-SA"/>
              </w:rPr>
            </w:pPr>
          </w:p>
          <w:p>
            <w:pPr>
              <w:keepNext/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ЭСВУ должен иметь следующие технические и функциональные характеристики</w:t>
            </w:r>
          </w:p>
          <w:p>
            <w:pPr>
              <w:keepNext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Регулировка кратности увеличения в диапазоне не менее, чем 1,8-10 крат с регулируемой фокусировкой. </w:t>
            </w:r>
          </w:p>
          <w:p>
            <w:pPr>
              <w:keepNext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Возможность фиксации выбранной кратности увеличения.</w:t>
            </w:r>
          </w:p>
          <w:p>
            <w:pPr>
              <w:keepNext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Локализация участка читаемого текста для последующего просмотра с заданным увеличением.</w:t>
            </w:r>
          </w:p>
          <w:p>
            <w:pPr>
              <w:keepNext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Фиксация фокусировки в плоскости бумаги при письме.</w:t>
            </w:r>
          </w:p>
          <w:p>
            <w:pPr>
              <w:keepNext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Режимы отображения:</w:t>
            </w:r>
          </w:p>
          <w:p>
            <w:pPr>
              <w:pStyle w:val="5"/>
              <w:keepNext/>
              <w:widowControl w:val="0"/>
              <w:numPr>
                <w:ilvl w:val="0"/>
                <w:numId w:val="1"/>
              </w:numPr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естественной контрастности – цветной </w:t>
            </w:r>
          </w:p>
          <w:p>
            <w:pPr>
              <w:pStyle w:val="5"/>
              <w:keepNext/>
              <w:widowControl w:val="0"/>
              <w:numPr>
                <w:ilvl w:val="0"/>
                <w:numId w:val="1"/>
              </w:numPr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высококонтрастный для чтения текста, в том числе:</w:t>
            </w:r>
          </w:p>
          <w:p>
            <w:pPr>
              <w:pStyle w:val="5"/>
              <w:keepNext/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черно-белый позитивный</w:t>
            </w:r>
          </w:p>
          <w:p>
            <w:pPr>
              <w:pStyle w:val="5"/>
              <w:keepNext/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черно-белый негативный</w:t>
            </w:r>
          </w:p>
          <w:p>
            <w:pPr>
              <w:pStyle w:val="5"/>
              <w:keepNext/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цветовые сочетания текста и фона (не менее 18) </w:t>
            </w:r>
          </w:p>
          <w:p>
            <w:pPr>
              <w:pStyle w:val="5"/>
              <w:keepNext/>
              <w:widowControl w:val="0"/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фиксация изображения (стоп-кадр)</w:t>
            </w:r>
          </w:p>
          <w:p>
            <w:pPr>
              <w:pStyle w:val="5"/>
              <w:keepNext/>
              <w:widowControl w:val="0"/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регулировка яркости и контрастности изображения</w:t>
            </w:r>
          </w:p>
          <w:p>
            <w:pPr>
              <w:pStyle w:val="5"/>
              <w:keepNext/>
              <w:widowControl w:val="0"/>
              <w:suppressAutoHyphens/>
              <w:autoSpaceDE w:val="0"/>
              <w:ind w:left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Выделение читаемого участка текста при помощи горизонтальных линий или курсора.</w:t>
            </w:r>
          </w:p>
          <w:p>
            <w:pPr>
              <w:keepNext/>
              <w:suppressAutoHyphens/>
              <w:jc w:val="both"/>
              <w:rPr>
                <w:lang w:eastAsia="ar-SA"/>
              </w:rPr>
            </w:pPr>
            <w:r>
              <w:rPr>
                <w:highlight w:val="yellow"/>
                <w:lang w:val="ru-RU" w:eastAsia="ar-SA"/>
              </w:rPr>
              <w:t>Встроенный в корпус ЭСВУ</w:t>
            </w:r>
            <w:r>
              <w:rPr>
                <w:lang w:val="ru-RU" w:eastAsia="ar-SA"/>
              </w:rPr>
              <w:t xml:space="preserve"> ж</w:t>
            </w:r>
            <w:r>
              <w:rPr>
                <w:lang w:eastAsia="ar-SA"/>
              </w:rPr>
              <w:t>идкокристаллический дисплей с диагональю не менее 10 дюймов, разрешающей способностью не менее 800х600.</w:t>
            </w:r>
          </w:p>
          <w:p>
            <w:pPr>
              <w:keepNext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Подключение внешней памяти через разъем </w:t>
            </w:r>
            <w:r>
              <w:rPr>
                <w:lang w:val="en-US" w:eastAsia="ar-SA"/>
              </w:rPr>
              <w:t>USB</w:t>
            </w:r>
            <w:r>
              <w:rPr>
                <w:lang w:eastAsia="ar-SA"/>
              </w:rPr>
              <w:t xml:space="preserve"> и дополнительной внешней акустической системы через разъемы 3,5 мм или 4,5 мм.</w:t>
            </w:r>
          </w:p>
          <w:p>
            <w:pPr>
              <w:keepNext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Питание от сети переменного тока 100-240В, 50 Гц.</w:t>
            </w:r>
          </w:p>
          <w:p>
            <w:pPr>
              <w:keepNext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Вес не более 2 кг.</w:t>
            </w:r>
          </w:p>
          <w:p>
            <w:pPr>
              <w:keepNext/>
              <w:suppressAutoHyphens/>
              <w:jc w:val="both"/>
              <w:rPr>
                <w:highlight w:val="yellow"/>
                <w:lang w:val="ru-RU" w:eastAsia="ar-SA"/>
              </w:rPr>
            </w:pPr>
            <w:r>
              <w:rPr>
                <w:highlight w:val="yellow"/>
                <w:lang w:val="ru-RU" w:eastAsia="ar-SA"/>
              </w:rPr>
              <w:t>ЭСВУ должен обеспечивать возможность подключения дисплея Брайля для навигации по тексту.</w:t>
            </w:r>
          </w:p>
          <w:p>
            <w:pPr>
              <w:rPr>
                <w:lang w:eastAsia="ar-SA"/>
              </w:rPr>
            </w:pPr>
            <w:r>
              <w:rPr>
                <w:lang w:eastAsia="ar-SA"/>
              </w:rPr>
              <w:t>ЭСВУ должен обеспечивать возможность создания</w:t>
            </w:r>
            <w:r>
              <w:t xml:space="preserve"> звукового комментария для каждого сканированного изображения. Длительность каждого звукового комментария – не менее 5 сек.</w:t>
            </w:r>
            <w:r>
              <w:rPr>
                <w:lang w:eastAsia="ar-SA"/>
              </w:rPr>
              <w:t xml:space="preserve"> </w:t>
            </w:r>
          </w:p>
          <w:p>
            <w:pPr>
              <w:keepNext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ЭСВУ осуществляет сканирование, распознавание текста и его аудиовоспроизведение при помощи встроенного синтезатора речи.</w:t>
            </w:r>
          </w:p>
          <w:p>
            <w:pPr>
              <w:keepNext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ЭСВУ должен обеспечивать воспроизведение текста как через встроенные динамические громкоговорители, так и через подключаемые головные телефоны. </w:t>
            </w:r>
          </w:p>
          <w:p>
            <w:pPr>
              <w:keepNext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ЭСВУ должен осуществлять распознавание и аудиовоспроизведение текста как на русском, так и на английском языке, как  в целом весь текст, так по словам и предложениям в отдельности.</w:t>
            </w:r>
          </w:p>
          <w:p>
            <w:pPr>
              <w:keepNext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Устройство должно обеспечивать возможность сохранения сканированных документов. </w:t>
            </w:r>
          </w:p>
          <w:p>
            <w:pPr>
              <w:keepNext/>
              <w:suppressAutoHyphens/>
              <w:jc w:val="both"/>
              <w:rPr>
                <w:highlight w:val="yellow"/>
                <w:lang w:val="ru-RU" w:eastAsia="ar-SA"/>
              </w:rPr>
            </w:pPr>
            <w:r>
              <w:rPr>
                <w:highlight w:val="yellow"/>
                <w:lang w:val="ru-RU" w:eastAsia="ar-SA"/>
              </w:rPr>
              <w:t>Устройство должно иметь режим помощи, который обеспечивает аудиосопровождение по ключевым функциям ЭСВУ.</w:t>
            </w:r>
          </w:p>
          <w:p>
            <w:pPr>
              <w:keepNext/>
              <w:suppressAutoHyphens/>
              <w:jc w:val="both"/>
              <w:rPr>
                <w:lang w:eastAsia="ar-SA"/>
              </w:rPr>
            </w:pPr>
          </w:p>
          <w:p>
            <w:pPr>
              <w:keepNext/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Требования к конструкции и эргономике</w:t>
            </w:r>
          </w:p>
          <w:p>
            <w:pPr>
              <w:keepNext/>
              <w:suppressAutoHyphens/>
              <w:jc w:val="both"/>
              <w:rPr>
                <w:b/>
                <w:lang w:eastAsia="ar-SA"/>
              </w:rPr>
            </w:pPr>
          </w:p>
          <w:p>
            <w:pPr>
              <w:keepNext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ЭСВУ должен быть выполнен в виде единого конструктивного блока, содержащего дисплей, видеокамеру, панель управления, встроенные динамические громкоговорители и осветитель.</w:t>
            </w:r>
          </w:p>
          <w:p>
            <w:pPr>
              <w:keepNext/>
              <w:suppressAutoHyphens/>
              <w:jc w:val="both"/>
              <w:rPr>
                <w:highlight w:val="yellow"/>
                <w:lang w:val="ru-RU" w:eastAsia="ar-SA"/>
              </w:rPr>
            </w:pPr>
            <w:r>
              <w:rPr>
                <w:highlight w:val="yellow"/>
                <w:lang w:val="ru-RU" w:eastAsia="ar-SA"/>
              </w:rPr>
              <w:t>Все органы управления должны различаться по тактильным обозначениям. Тактильные обозначения должны быть выпуклыми.</w:t>
            </w:r>
          </w:p>
          <w:p>
            <w:pPr>
              <w:keepNext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Размер сканируемых материалов:</w:t>
            </w:r>
          </w:p>
          <w:p>
            <w:pPr>
              <w:keepNext/>
              <w:widowControl w:val="0"/>
              <w:suppressAutoHyphens/>
              <w:autoSpaceDE w:val="0"/>
              <w:autoSpaceDN w:val="0"/>
              <w:adjustRightInd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      ширина не более 210 мм </w:t>
            </w:r>
          </w:p>
          <w:p>
            <w:pPr>
              <w:keepNext/>
              <w:widowControl w:val="0"/>
              <w:suppressAutoHyphens/>
              <w:autoSpaceDE w:val="0"/>
              <w:autoSpaceDN w:val="0"/>
              <w:adjustRightInd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      длина не более 280 мм.</w:t>
            </w:r>
          </w:p>
          <w:p>
            <w:pPr>
              <w:keepNext/>
              <w:widowControl w:val="0"/>
              <w:suppressAutoHyphens/>
              <w:autoSpaceDE w:val="0"/>
              <w:autoSpaceDN w:val="0"/>
              <w:adjustRightInd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Размер устройства: </w:t>
            </w:r>
          </w:p>
          <w:p>
            <w:pPr>
              <w:keepNext/>
              <w:widowControl w:val="0"/>
              <w:suppressAutoHyphens/>
              <w:autoSpaceDE w:val="0"/>
              <w:autoSpaceDN w:val="0"/>
              <w:adjustRightInd w:val="0"/>
              <w:snapToGrid w:val="0"/>
              <w:ind w:left="720"/>
              <w:jc w:val="both"/>
              <w:rPr>
                <w:lang w:eastAsia="ar-SA"/>
              </w:rPr>
            </w:pPr>
            <w:r>
              <w:rPr>
                <w:lang w:eastAsia="ar-SA"/>
              </w:rPr>
              <w:t>высота не менее 250 мм и не более 300 мм</w:t>
            </w:r>
          </w:p>
          <w:p>
            <w:pPr>
              <w:keepNext/>
              <w:widowControl w:val="0"/>
              <w:suppressAutoHyphens/>
              <w:autoSpaceDE w:val="0"/>
              <w:autoSpaceDN w:val="0"/>
              <w:adjustRightInd w:val="0"/>
              <w:snapToGrid w:val="0"/>
              <w:ind w:left="72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длина не менее 280 мм и не более 350 мм </w:t>
            </w:r>
          </w:p>
          <w:p>
            <w:pPr>
              <w:keepNext/>
              <w:widowControl w:val="0"/>
              <w:suppressAutoHyphens/>
              <w:autoSpaceDE w:val="0"/>
              <w:autoSpaceDN w:val="0"/>
              <w:adjustRightInd w:val="0"/>
              <w:snapToGrid w:val="0"/>
              <w:ind w:left="720"/>
              <w:jc w:val="both"/>
              <w:rPr>
                <w:lang w:eastAsia="ar-SA"/>
              </w:rPr>
            </w:pPr>
            <w:r>
              <w:rPr>
                <w:lang w:eastAsia="ar-SA"/>
              </w:rPr>
              <w:t>ширина не менее 50 мм и не более 100 мм.</w:t>
            </w:r>
          </w:p>
          <w:p>
            <w:pPr>
              <w:keepNext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Органы управления должны обеспечивать удобство пользования инвалидам с пониженным зрением, иметь крупные размеры и контрастные цвета. </w:t>
            </w:r>
          </w:p>
          <w:p>
            <w:pPr>
              <w:keepNext/>
              <w:suppressAutoHyphens/>
              <w:jc w:val="both"/>
              <w:rPr>
                <w:lang w:eastAsia="ar-SA"/>
              </w:rPr>
            </w:pPr>
          </w:p>
          <w:p>
            <w:pPr>
              <w:keepNext/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Комплект поставки:</w:t>
            </w:r>
          </w:p>
          <w:p>
            <w:pPr>
              <w:keepNext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Электронный стационарный видео-увеличитель – 1 шт.</w:t>
            </w:r>
          </w:p>
          <w:p>
            <w:pPr>
              <w:keepNext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Сетевой адаптер с кабелем – 1 шт.</w:t>
            </w:r>
          </w:p>
          <w:p>
            <w:pPr>
              <w:keepNext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Головные телефоны – 1 шт.</w:t>
            </w:r>
          </w:p>
          <w:p>
            <w:pPr>
              <w:keepNext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Руководство по эксплуатации и паспорт на русском языке – 1 шт.</w:t>
            </w:r>
          </w:p>
          <w:p>
            <w:pPr>
              <w:pStyle w:val="2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eastAsia="ar-SA"/>
              </w:rPr>
              <w:t>Упаковочная коробка – 1 шт.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616B9"/>
    <w:multiLevelType w:val="multilevel"/>
    <w:tmpl w:val="344616B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5291E8C"/>
    <w:multiLevelType w:val="multilevel"/>
    <w:tmpl w:val="65291E8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24D82"/>
    <w:rsid w:val="20F54786"/>
    <w:rsid w:val="232903E6"/>
    <w:rsid w:val="55224D82"/>
    <w:rsid w:val="5E0F6E07"/>
    <w:rsid w:val="73DD2B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ru-RU" w:eastAsia="ru-RU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</w:pPr>
    <w:rPr>
      <w:sz w:val="28"/>
      <w:szCs w:val="28"/>
    </w:rPr>
  </w:style>
  <w:style w:type="paragraph" w:customStyle="1" w:styleId="5">
    <w:name w:val="_Style 2"/>
    <w:basedOn w:val="1"/>
    <w:qFormat/>
    <w:uiPriority w:val="34"/>
    <w:pPr>
      <w:ind w:left="720"/>
      <w:contextualSpacing/>
    </w:pPr>
    <w:rPr>
      <w:rFonts w:eastAsia="Lucida Sans Unicode" w:cs="Tahoma"/>
      <w:color w:val="00000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2017-02-01T09:41:00Z</dcterms:created>
  <dc:creator>Admin</dc:creator>
  <cp:lastModifiedBy>Admin</cp:lastModifiedBy>
  <dcterms:modified xsi:type="dcterms:W3CDTF">2017-02-08T10:53:07Z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