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hint="default" w:ascii="Times New Roman" w:hAnsi="Times New Roman" w:eastAsia="Calibri" w:cs="Times New Roman"/>
                <w:sz w:val="24"/>
                <w:szCs w:val="24"/>
                <w:highlight w:val="none"/>
                <w:lang w:val="en-US"/>
              </w:rPr>
            </w:pPr>
            <w:r>
              <w:rPr>
                <w:rFonts w:ascii="Times New Roman" w:hAnsi="Times New Roman" w:eastAsia="Calibri" w:cs="Times New Roman"/>
                <w:sz w:val="24"/>
                <w:szCs w:val="24"/>
                <w:highlight w:val="none"/>
                <w:lang w:val="ru-RU"/>
              </w:rPr>
              <w:t>Информационный терминал</w:t>
            </w: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w:t>
            </w:r>
            <w:bookmarkStart w:id="0" w:name="_GoBack"/>
            <w:bookmarkEnd w:id="0"/>
            <w:r>
              <w:rPr>
                <w:rFonts w:hint="default" w:ascii="Times New Roman" w:hAnsi="Times New Roman" w:eastAsia="Calibri" w:cs="Times New Roman"/>
                <w:sz w:val="24"/>
                <w:szCs w:val="24"/>
                <w:highlight w:val="none"/>
                <w:lang w:val="ru-RU"/>
              </w:rPr>
              <w:t>нием (далее по тексту ПО) для людей  с инвалидностью по зрению, для людей с инвалидностью по слуху,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для людей с инвалидностью по слуху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Беспроводная передача аудио информации в виде электромагнитного сигнала с помощью колебаний магнитного поля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1700х580х100,</w:t>
            </w:r>
          </w:p>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 не более 1820х700х130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600х410х40, не более 650х460х60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42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35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90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2048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расстояние передачи беспроводного электромагнитного сигнала с помощью колебаний магнитного поля, 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на сенсорную кнопку в интерфейсе пользовательской части с соответствующей пиктограммой,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 активации режима на экран должна выводиться информация для слабослышащих людей при её наличии, информация должна иметь возможность включать в себя графические изображения, текст, таблицы, видео, аудио файлы, страницу сайта и др. контент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изображеий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47F3909"/>
    <w:rsid w:val="07B36E84"/>
    <w:rsid w:val="0BB86DA7"/>
    <w:rsid w:val="13F27AD1"/>
    <w:rsid w:val="147730E4"/>
    <w:rsid w:val="16BD5722"/>
    <w:rsid w:val="22F31FA7"/>
    <w:rsid w:val="28D34CBA"/>
    <w:rsid w:val="2A711AEC"/>
    <w:rsid w:val="2F9C17A1"/>
    <w:rsid w:val="35E51E45"/>
    <w:rsid w:val="36D60F78"/>
    <w:rsid w:val="38CB2600"/>
    <w:rsid w:val="3BD93D97"/>
    <w:rsid w:val="3D770239"/>
    <w:rsid w:val="3DC00D44"/>
    <w:rsid w:val="4006543B"/>
    <w:rsid w:val="409C2BA2"/>
    <w:rsid w:val="40FC3FD6"/>
    <w:rsid w:val="43EC2A5F"/>
    <w:rsid w:val="44025300"/>
    <w:rsid w:val="44A06626"/>
    <w:rsid w:val="4617799B"/>
    <w:rsid w:val="50442D35"/>
    <w:rsid w:val="563C2C58"/>
    <w:rsid w:val="5AF53543"/>
    <w:rsid w:val="5CF93FC5"/>
    <w:rsid w:val="60327CCA"/>
    <w:rsid w:val="626244C1"/>
    <w:rsid w:val="673108F4"/>
    <w:rsid w:val="675B669B"/>
    <w:rsid w:val="68B13C31"/>
    <w:rsid w:val="69FA676D"/>
    <w:rsid w:val="6B406183"/>
    <w:rsid w:val="7125094A"/>
    <w:rsid w:val="72392E0F"/>
    <w:rsid w:val="78F21706"/>
    <w:rsid w:val="790A09BD"/>
    <w:rsid w:val="7B102174"/>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0</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